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780"/>
        <w:gridCol w:w="1785"/>
        <w:gridCol w:w="1778"/>
        <w:gridCol w:w="1743"/>
        <w:gridCol w:w="1893"/>
        <w:gridCol w:w="1589"/>
        <w:gridCol w:w="1481"/>
      </w:tblGrid>
      <w:tr w:rsidR="00EC793F" w:rsidRPr="00F15B36" w:rsidTr="00DA6ADE">
        <w:tc>
          <w:tcPr>
            <w:tcW w:w="13948" w:type="dxa"/>
            <w:gridSpan w:val="8"/>
          </w:tcPr>
          <w:p w:rsidR="00EC793F" w:rsidRDefault="00EC79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  <w:r w:rsidRPr="00F076A9">
              <w:rPr>
                <w:rFonts w:ascii="Tahoma" w:hAnsi="Tahoma" w:cs="Tahoma"/>
              </w:rPr>
              <w:t xml:space="preserve">In Year 10 and 11 students will have </w:t>
            </w:r>
            <w:r>
              <w:rPr>
                <w:rFonts w:ascii="Tahoma" w:hAnsi="Tahoma" w:cs="Tahoma"/>
              </w:rPr>
              <w:t>7</w:t>
            </w:r>
            <w:r w:rsidRPr="00F076A9">
              <w:rPr>
                <w:rFonts w:ascii="Tahoma" w:hAnsi="Tahoma" w:cs="Tahoma"/>
              </w:rPr>
              <w:t xml:space="preserve"> regular science lessons per week. Our curriculum is based on the AQA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KS4 Combined Science: Trilogy Curriculum. In both years, we re-explore and develop a range of modules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that students have been introduced to in year 7, 8 and 9, splitting these into the distinct disciplines of Biology,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Chemistry and Physics. Students will be given the opportunity to explore their ideas and questions, follow the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 xml:space="preserve">evidence from results and question everything. </w:t>
            </w:r>
            <w:r>
              <w:rPr>
                <w:rFonts w:ascii="Tahoma" w:hAnsi="Tahoma" w:cs="Tahoma"/>
              </w:rPr>
              <w:t>Some students may choose to focus solely on GCSE Biology later in the academic year.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 w:rsidP="00F076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more detailed information, please click here: </w:t>
            </w:r>
            <w:hyperlink r:id="rId6" w:history="1">
              <w:r w:rsidRPr="001E348C">
                <w:rPr>
                  <w:rStyle w:val="Hyperlink"/>
                  <w:rFonts w:ascii="Tahoma" w:hAnsi="Tahoma" w:cs="Tahoma"/>
                </w:rPr>
                <w:t>https://www.aqa.org.uk/subjects/science/gcse/combined-science-trilogy-8464</w:t>
              </w:r>
            </w:hyperlink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>
            <w:pPr>
              <w:rPr>
                <w:rFonts w:ascii="Tahoma" w:hAnsi="Tahoma" w:cs="Tahoma"/>
              </w:rPr>
            </w:pPr>
          </w:p>
        </w:tc>
      </w:tr>
      <w:tr w:rsidR="00EC793F" w:rsidRPr="00F15B36" w:rsidTr="00DA6ADE">
        <w:tc>
          <w:tcPr>
            <w:tcW w:w="189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1780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1785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1778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174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189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  <w:tc>
          <w:tcPr>
            <w:tcW w:w="158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1" w:type="dxa"/>
          </w:tcPr>
          <w:p w:rsidR="00EC793F" w:rsidRDefault="00EC793F" w:rsidP="007E4AC6">
            <w:pPr>
              <w:rPr>
                <w:rFonts w:ascii="Tahoma" w:hAnsi="Tahoma" w:cs="Tahoma"/>
              </w:rPr>
            </w:pPr>
          </w:p>
        </w:tc>
      </w:tr>
      <w:tr w:rsidR="00DA6ADE" w:rsidRPr="00F15B36" w:rsidTr="00DA6ADE">
        <w:tc>
          <w:tcPr>
            <w:tcW w:w="1899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B5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5.1 Homeostasis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5.2.1 The human nervous system - Structure and Function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The brain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The eye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Control of body temperature BIO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DA6ADE" w:rsidRPr="0016299E" w:rsidRDefault="00DA6ADE" w:rsidP="00DA6AD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80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B5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5.3.1 Human endocrine system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5.3.2 Control of blood glucose concentration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Maintaining water and nitrogen balance in the body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5.3.3 Hormones in human reproduction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5.3.4 Contraception</w:t>
            </w:r>
          </w:p>
          <w:p w:rsidR="00DA6ADE" w:rsidRPr="0016299E" w:rsidRDefault="00DA6ADE" w:rsidP="00DA6AD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85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B5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5.3.5 The use of hormones to treat infertility (HT only)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5.3.6 Negative feedback (HT only)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Plant hormones - Control and coordination BIO</w:t>
            </w:r>
          </w:p>
          <w:p w:rsid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Use of plant hormones BIO (HT only)</w:t>
            </w:r>
          </w:p>
          <w:p w:rsidR="00DA6ADE" w:rsidRPr="0016299E" w:rsidRDefault="00DA6ADE" w:rsidP="00DA6AD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78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B6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6.1.1 Sexual and asexual reproduction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6.1.2 Meiosis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Advantages and disadvantages of sexual and asexual reproduction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6.1.3 DNA and the genome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DNA structure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</w:p>
          <w:p w:rsidR="00DA6ADE" w:rsidRPr="0016299E" w:rsidRDefault="00DA6ADE" w:rsidP="00044DA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43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B6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6.1.4 Genetic inheritance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6.1.5 Inherited disorders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6.1.6 Sex determination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6.2.1 Variation</w:t>
            </w:r>
          </w:p>
          <w:p w:rsidR="00DA6ADE" w:rsidRPr="0016299E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6.2.2 Evolution</w:t>
            </w:r>
          </w:p>
        </w:tc>
        <w:tc>
          <w:tcPr>
            <w:tcW w:w="1893" w:type="dxa"/>
          </w:tcPr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B6</w:t>
            </w:r>
          </w:p>
          <w:p w:rsidR="00DA6ADE" w:rsidRDefault="00DA6ADE" w:rsidP="00DA6ADE">
            <w:pPr>
              <w:rPr>
                <w:rFonts w:ascii="Tahoma" w:hAnsi="Tahoma" w:cs="Tahoma"/>
                <w:sz w:val="20"/>
              </w:rPr>
            </w:pP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6.2.3 Selective breeding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6.2.4 Genetic engineering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Cloning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Theory of evolution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 Speciation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XX</w:t>
            </w:r>
            <w:bookmarkStart w:id="0" w:name="_GoBack"/>
            <w:bookmarkEnd w:id="0"/>
            <w:r w:rsidRPr="00044DAF">
              <w:rPr>
                <w:rFonts w:ascii="Tahoma" w:hAnsi="Tahoma" w:cs="Tahoma"/>
                <w:sz w:val="20"/>
              </w:rPr>
              <w:t xml:space="preserve"> The understanding of genetics BIO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6.3.1 Evidence for evolution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6.3.2 Fossils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6.3.3 Extinction</w:t>
            </w:r>
          </w:p>
          <w:p w:rsidR="00044DAF" w:rsidRPr="00044DAF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6.3.4 Resistant bacteria</w:t>
            </w:r>
          </w:p>
          <w:p w:rsidR="00DA6ADE" w:rsidRPr="0016299E" w:rsidRDefault="00044DAF" w:rsidP="00044DAF">
            <w:pPr>
              <w:rPr>
                <w:rFonts w:ascii="Tahoma" w:hAnsi="Tahoma" w:cs="Tahoma"/>
                <w:sz w:val="20"/>
              </w:rPr>
            </w:pPr>
            <w:r w:rsidRPr="00044DAF">
              <w:rPr>
                <w:rFonts w:ascii="Tahoma" w:hAnsi="Tahoma" w:cs="Tahoma"/>
                <w:sz w:val="20"/>
              </w:rPr>
              <w:t>6.4 Classification of living organisms</w:t>
            </w:r>
          </w:p>
        </w:tc>
        <w:tc>
          <w:tcPr>
            <w:tcW w:w="1589" w:type="dxa"/>
          </w:tcPr>
          <w:p w:rsidR="00DA6ADE" w:rsidRPr="0016299E" w:rsidRDefault="00DA6ADE" w:rsidP="00DA6AD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81" w:type="dxa"/>
          </w:tcPr>
          <w:p w:rsidR="00DA6ADE" w:rsidRPr="0016299E" w:rsidRDefault="00DA6ADE" w:rsidP="00DA6ADE">
            <w:pPr>
              <w:rPr>
                <w:rFonts w:ascii="Tahoma" w:hAnsi="Tahoma" w:cs="Tahoma"/>
                <w:sz w:val="20"/>
              </w:rPr>
            </w:pPr>
          </w:p>
        </w:tc>
      </w:tr>
      <w:tr w:rsidR="00DA6ADE" w:rsidRPr="00F15B36" w:rsidTr="00DA6ADE">
        <w:tc>
          <w:tcPr>
            <w:tcW w:w="13948" w:type="dxa"/>
            <w:gridSpan w:val="8"/>
          </w:tcPr>
          <w:p w:rsidR="00DA6ADE" w:rsidRDefault="00DA6ADE" w:rsidP="00DA6A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 of topic tests based on past exam questions covering both Foundation Tiers and Higher Tiers.</w:t>
            </w:r>
          </w:p>
          <w:p w:rsidR="00DA6ADE" w:rsidRDefault="00DA6ADE" w:rsidP="00DA6ADE">
            <w:pPr>
              <w:rPr>
                <w:rFonts w:ascii="Tahoma" w:hAnsi="Tahoma" w:cs="Tahoma"/>
              </w:rPr>
            </w:pPr>
          </w:p>
          <w:p w:rsidR="00DA6ADE" w:rsidRDefault="00DA6ADE" w:rsidP="00DA6ADE">
            <w:pPr>
              <w:rPr>
                <w:rFonts w:ascii="Tahoma" w:hAnsi="Tahoma" w:cs="Tahoma"/>
              </w:rPr>
            </w:pPr>
          </w:p>
          <w:p w:rsidR="00DA6ADE" w:rsidRDefault="00DA6ADE" w:rsidP="00DA6ADE">
            <w:pPr>
              <w:rPr>
                <w:rFonts w:ascii="Tahoma" w:hAnsi="Tahoma" w:cs="Tahoma"/>
              </w:rPr>
            </w:pPr>
          </w:p>
          <w:p w:rsidR="00DA6ADE" w:rsidRDefault="00DA6ADE" w:rsidP="00DA6ADE">
            <w:pPr>
              <w:rPr>
                <w:rFonts w:ascii="Tahoma" w:hAnsi="Tahoma" w:cs="Tahoma"/>
              </w:rPr>
            </w:pPr>
          </w:p>
        </w:tc>
      </w:tr>
    </w:tbl>
    <w:p w:rsidR="00A71F8B" w:rsidRDefault="00044DAF" w:rsidP="00F15B36"/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>Group 2 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DA6ADE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Spring</w:t>
    </w:r>
    <w:r w:rsidR="00E4785E" w:rsidRPr="00E4785E">
      <w:rPr>
        <w:rFonts w:ascii="Tahoma" w:hAnsi="Tahoma" w:cs="Tahoma"/>
        <w:sz w:val="28"/>
        <w:szCs w:val="28"/>
      </w:rPr>
      <w:t xml:space="preserve"> Term – Half Term </w:t>
    </w:r>
    <w:r w:rsidR="00BC01E1"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</w:t>
    </w:r>
    <w:r w:rsidR="00C26C36" w:rsidRPr="00C26C36">
      <w:rPr>
        <w:rFonts w:ascii="Tahoma" w:hAnsi="Tahoma" w:cs="Tahoma"/>
        <w:sz w:val="28"/>
        <w:szCs w:val="28"/>
      </w:rPr>
      <w:t xml:space="preserve">GCSE </w:t>
    </w:r>
    <w:r w:rsidR="00BC01E1">
      <w:rPr>
        <w:rFonts w:ascii="Tahoma" w:hAnsi="Tahoma" w:cs="Tahoma"/>
        <w:sz w:val="28"/>
        <w:szCs w:val="28"/>
      </w:rPr>
      <w:t>Biology AQA</w:t>
    </w:r>
  </w:p>
  <w:p w:rsidR="00E4785E" w:rsidRDefault="00E4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44DAF"/>
    <w:rsid w:val="000E290D"/>
    <w:rsid w:val="0016299E"/>
    <w:rsid w:val="00364BC8"/>
    <w:rsid w:val="004775BD"/>
    <w:rsid w:val="005F7FE1"/>
    <w:rsid w:val="006C0098"/>
    <w:rsid w:val="00750B44"/>
    <w:rsid w:val="007721AD"/>
    <w:rsid w:val="007D6661"/>
    <w:rsid w:val="007E4AC6"/>
    <w:rsid w:val="0083727B"/>
    <w:rsid w:val="0093287B"/>
    <w:rsid w:val="00A71177"/>
    <w:rsid w:val="00A756A6"/>
    <w:rsid w:val="00B578A8"/>
    <w:rsid w:val="00BC01E1"/>
    <w:rsid w:val="00C26C36"/>
    <w:rsid w:val="00DA6ADE"/>
    <w:rsid w:val="00E4785E"/>
    <w:rsid w:val="00EC793F"/>
    <w:rsid w:val="00F076A9"/>
    <w:rsid w:val="00F15B36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18A9BE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character" w:styleId="Hyperlink">
    <w:name w:val="Hyperlink"/>
    <w:basedOn w:val="DefaultParagraphFont"/>
    <w:uiPriority w:val="99"/>
    <w:unhideWhenUsed/>
    <w:rsid w:val="006C0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a.org.uk/subjects/science/gcse/combined-science-trilogy-84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Stuart Fink</cp:lastModifiedBy>
  <cp:revision>3</cp:revision>
  <dcterms:created xsi:type="dcterms:W3CDTF">2025-01-08T12:24:00Z</dcterms:created>
  <dcterms:modified xsi:type="dcterms:W3CDTF">2025-01-08T12:27:00Z</dcterms:modified>
</cp:coreProperties>
</file>